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Evaluación Diagnóstica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Explora conocimientos o experiencias previas antes del desarrollo principal para orientar la conducción.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Tema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 la 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Tiempo previsto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Puntaje total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Instrucciones</w:t>
      </w:r>
    </w:p>
    <w:p>
      <w:pPr>
        <w:spacing w:after="160"/>
      </w:pPr>
      <w:r>
        <w:t>Escribe aquí instrucciones claras, el modo de respuesta y cualquier condición necesaria para contestar el instrumento.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Reactivos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Núm.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Pregunta o tarea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Respuesta u opciones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Puntos</w:t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Clave o criterios de interpretación</w:t>
      </w:r>
    </w:p>
    <w:p>
      <w:pPr>
        <w:spacing w:after="120"/>
      </w:pPr>
      <w:r>
        <w:rPr>
          <w:rFonts w:ascii="Aptos" w:hAnsi="Aptos"/>
          <w:color w:val="5F6673"/>
          <w:sz w:val="18"/>
        </w:rPr>
        <w:t>Complétala cuando el tipo de instrumento lo requiera.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56"/>
        <w:gridCol w:w="3456"/>
        <w:gridCol w:w="3456"/>
      </w:tblGrid>
      <w:tr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Reactivo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Respuesta o criterio esperado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Puntaje</w:t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Momento de aplicación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Antes del desarrollo principal</w:t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Resultado obtenido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Observaciones para la conducción o retroalimentación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Diagnóstica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